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000000" w:sz="4"/>
              <w:left w:val="single" w:color="000000" w:sz="4"/>
              <w:bottom w:val="single" w:color="000000" w:sz="4"/>
              <w:right w:val="single" w:color="000000" w:sz="4"/>
            </w:tcBorders>
            <w:tcMar>
              <w:top w:type="dxa" w:w="120"/>
              <w:left w:type="dxa" w:w="160"/>
              <w:bottom w:type="dxa" w:w="120"/>
              <w:right w:type="dxa" w:w="160"/>
            </w:tcMar>
          </w:tcPr>
          <w:p>
            <w:pPr>
              <w:spacing w:after="40" w:before="40"/>
            </w:pPr>
            <w:r>
              <w:rPr>
                <w:rFonts w:ascii="Arial" w:cs="Arial" w:eastAsia="Arial" w:hAnsi="Arial"/>
                <w:b/>
                <w:bCs/>
                <w:i w:val="false"/>
                <w:iCs w:val="false"/>
                <w:color w:val="000000"/>
                <w:sz w:val="22"/>
                <w:szCs w:val="22"/>
              </w:rPr>
              <w:t xml:space="preserve">Pearson Edexcel Level 3 GCE</w:t>
            </w:r>
          </w:p>
          <w:p>
            <w:pPr>
              <w:spacing w:after="0" w:before="60"/>
            </w:pPr>
            <w:r>
              <w:rPr>
                <w:rFonts w:ascii="Arial" w:cs="Arial" w:eastAsia="Arial" w:hAnsi="Arial"/>
                <w:b w:val="false"/>
                <w:bCs w:val="false"/>
                <w:i w:val="false"/>
                <w:iCs w:val="false"/>
                <w:color w:val="000000"/>
                <w:sz w:val="20"/>
                <w:szCs w:val="20"/>
              </w:rPr>
              <w:t xml:space="preserve"/>
            </w:r>
          </w:p>
          <w:p>
            <w:pPr>
              <w:spacing w:after="20" w:before="20"/>
            </w:pPr>
            <w:r>
              <w:rPr>
                <w:rFonts w:ascii="Arial" w:cs="Arial" w:eastAsia="Arial" w:hAnsi="Arial"/>
                <w:b w:val="false"/>
                <w:bCs w:val="false"/>
                <w:i w:val="false"/>
                <w:iCs w:val="false"/>
                <w:color w:val="000000"/>
                <w:sz w:val="20"/>
                <w:szCs w:val="20"/>
              </w:rPr>
              <w:t xml:space="preserve">Time 2 hours          </w:t>
            </w:r>
            <w:r>
              <w:rPr>
                <w:rFonts w:ascii="Arial" w:cs="Arial" w:eastAsia="Arial" w:hAnsi="Arial"/>
                <w:b/>
                <w:bCs/>
                <w:i w:val="false"/>
                <w:iCs w:val="false"/>
                <w:color w:val="000000"/>
                <w:sz w:val="20"/>
                <w:szCs w:val="20"/>
              </w:rPr>
              <w:t xml:space="preserve">Paper reference    </w:t>
            </w:r>
            <w:r>
              <w:rPr>
                <w:rFonts w:ascii="Arial" w:cs="Arial" w:eastAsia="Arial" w:hAnsi="Arial"/>
                <w:b/>
                <w:bCs/>
                <w:i w:val="false"/>
                <w:iCs w:val="false"/>
                <w:color w:val="000000"/>
                <w:sz w:val="28"/>
                <w:szCs w:val="28"/>
              </w:rPr>
              <w:t xml:space="preserve">9PL0/01</w:t>
            </w:r>
          </w:p>
          <w:p>
            <w:pPr>
              <w:spacing w:after="0" w:before="40"/>
            </w:pPr>
            <w:r>
              <w:rPr>
                <w:rFonts w:ascii="Arial" w:cs="Arial" w:eastAsia="Arial" w:hAnsi="Arial"/>
                <w:b w:val="false"/>
                <w:bCs w:val="false"/>
                <w:i w:val="false"/>
                <w:iCs w:val="false"/>
                <w:color w:val="000000"/>
                <w:sz w:val="20"/>
                <w:szCs w:val="20"/>
              </w:rPr>
              <w:t xml:space="preserve"/>
            </w:r>
          </w:p>
          <w:p>
            <w:r>
              <w:rPr>
                <w:rFonts w:ascii="Arial" w:cs="Arial" w:eastAsia="Arial" w:hAnsi="Arial"/>
                <w:b/>
                <w:bCs/>
                <w:i w:val="false"/>
                <w:iCs w:val="false"/>
                <w:color w:val="000000"/>
                <w:sz w:val="36"/>
                <w:szCs w:val="36"/>
              </w:rPr>
              <w:t xml:space="preserve">Politics</w:t>
            </w:r>
          </w:p>
          <w:p>
            <w:r>
              <w:rPr>
                <w:rFonts w:ascii="Arial" w:cs="Arial" w:eastAsia="Arial" w:hAnsi="Arial"/>
                <w:b/>
                <w:bCs/>
                <w:i w:val="false"/>
                <w:iCs w:val="false"/>
                <w:color w:val="000000"/>
                <w:sz w:val="22"/>
                <w:szCs w:val="22"/>
              </w:rPr>
              <w:t xml:space="preserve">Advanced</w:t>
            </w:r>
          </w:p>
          <w:p>
            <w:r>
              <w:rPr>
                <w:rFonts w:ascii="Arial" w:cs="Arial" w:eastAsia="Arial" w:hAnsi="Arial"/>
                <w:b/>
                <w:bCs/>
                <w:i w:val="false"/>
                <w:iCs w:val="false"/>
                <w:color w:val="000000"/>
                <w:sz w:val="22"/>
                <w:szCs w:val="22"/>
              </w:rPr>
              <w:t xml:space="preserve">PAPER 1: UK Politics and Core Political Ideas</w:t>
            </w:r>
          </w:p>
          <w:p>
            <w:r>
              <w:rPr>
                <w:rFonts w:ascii="Arial" w:cs="Arial" w:eastAsia="Arial" w:hAnsi="Arial"/>
                <w:b/>
                <w:bCs/>
                <w:i w:val="false"/>
                <w:iCs w:val="false"/>
                <w:color w:val="000000"/>
                <w:sz w:val="22"/>
                <w:szCs w:val="22"/>
              </w:rPr>
              <w:t xml:space="preserve">Predicted Mock Paper – Summer 2026</w:t>
            </w:r>
          </w:p>
        </w:tc>
      </w:tr>
    </w:tbl>
    <w:p>
      <w:pPr>
        <w:spacing w:after="0" w:before="120"/>
      </w:pPr>
      <w:r>
        <w:rPr>
          <w:rFonts w:ascii="Arial" w:cs="Arial" w:eastAsia="Arial" w:hAnsi="Arial"/>
          <w:b w:val="false"/>
          <w:bCs w:val="false"/>
          <w:i w:val="false"/>
          <w:iCs w:val="false"/>
          <w:color w:val="000000"/>
          <w:sz w:val="20"/>
          <w:szCs w:val="20"/>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000000" w:sz="4"/>
              <w:left w:val="single" w:color="000000" w:sz="4"/>
              <w:bottom w:val="single" w:color="000000" w:sz="4"/>
              <w:right w:val="single" w:color="000000" w:sz="4"/>
            </w:tcBorders>
            <w:tcMar>
              <w:top w:type="dxa" w:w="80"/>
              <w:left w:type="dxa" w:w="160"/>
              <w:bottom w:type="dxa" w:w="80"/>
              <w:right w:type="dxa" w:w="160"/>
            </w:tcMar>
          </w:tcPr>
          <w:p>
            <w:r>
              <w:rPr>
                <w:rFonts w:ascii="Arial" w:cs="Arial" w:eastAsia="Arial" w:hAnsi="Arial"/>
                <w:b/>
                <w:bCs/>
                <w:i w:val="false"/>
                <w:iCs w:val="false"/>
                <w:color w:val="000000"/>
                <w:sz w:val="20"/>
                <w:szCs w:val="20"/>
              </w:rPr>
              <w:t xml:space="preserve">Source Booklet</w:t>
            </w:r>
          </w:p>
          <w:p>
            <w:r>
              <w:rPr>
                <w:rFonts w:ascii="Arial" w:cs="Arial" w:eastAsia="Arial" w:hAnsi="Arial"/>
                <w:b/>
                <w:bCs/>
                <w:i w:val="false"/>
                <w:iCs w:val="false"/>
                <w:color w:val="000000"/>
                <w:sz w:val="20"/>
                <w:szCs w:val="20"/>
              </w:rPr>
              <w:t xml:space="preserve">Do not return this Booklet with the question paper.</w:t>
            </w:r>
          </w:p>
        </w:tc>
      </w:tr>
    </w:tbl>
    <w:p>
      <w:pPr>
        <w:spacing w:after="0" w:before="200"/>
      </w:pPr>
      <w:r>
        <w:rPr>
          <w:rFonts w:ascii="Arial" w:cs="Arial" w:eastAsia="Arial" w:hAnsi="Arial"/>
          <w:b w:val="false"/>
          <w:bCs w:val="false"/>
          <w:i w:val="false"/>
          <w:iCs w:val="false"/>
          <w:color w:val="000000"/>
          <w:sz w:val="20"/>
          <w:szCs w:val="20"/>
        </w:rPr>
        <w:t xml:space="preserve"/>
      </w:r>
    </w:p>
    <w:p>
      <w:pPr>
        <w:jc w:val="center"/>
      </w:pPr>
      <w:r>
        <w:rPr>
          <w:rFonts w:ascii="Arial" w:cs="Arial" w:eastAsia="Arial" w:hAnsi="Arial"/>
          <w:b w:val="false"/>
          <w:bCs w:val="false"/>
          <w:i/>
          <w:iCs/>
          <w:color w:val="000000"/>
          <w:sz w:val="17"/>
          <w:szCs w:val="17"/>
        </w:rPr>
        <w:t xml:space="preserve">Prepared by David Clayton and Claude | Based on question-bank rotation analysis 2019–2025</w:t>
      </w:r>
    </w:p>
    <w:p>
      <w:r>
        <w:br/>
      </w:r>
    </w:p>
    <w:p>
      <w:pPr>
        <w:spacing w:after="40" w:before="40"/>
        <w:jc w:val="center"/>
      </w:pPr>
      <w:r>
        <w:rPr>
          <w:rFonts w:ascii="Arial" w:cs="Arial" w:eastAsia="Arial" w:hAnsi="Arial"/>
          <w:b/>
          <w:bCs/>
          <w:i w:val="false"/>
          <w:iCs w:val="false"/>
          <w:color w:val="000000"/>
          <w:sz w:val="22"/>
          <w:szCs w:val="22"/>
        </w:rPr>
        <w:t xml:space="preserve">SECTION A</w:t>
      </w:r>
    </w:p>
    <w:p>
      <w:pPr>
        <w:spacing w:after="80" w:before="20"/>
        <w:jc w:val="center"/>
      </w:pPr>
      <w:r>
        <w:rPr>
          <w:rFonts w:ascii="Arial" w:cs="Arial" w:eastAsia="Arial" w:hAnsi="Arial"/>
          <w:b/>
          <w:bCs/>
          <w:i w:val="false"/>
          <w:iCs w:val="false"/>
          <w:color w:val="000000"/>
          <w:sz w:val="22"/>
          <w:szCs w:val="22"/>
        </w:rPr>
        <w:t xml:space="preserve">Political Participation</w:t>
      </w:r>
    </w:p>
    <w:p>
      <w:pPr>
        <w:spacing w:after="40" w:before="60"/>
      </w:pPr>
      <w:r>
        <w:rPr>
          <w:rFonts w:ascii="Arial" w:cs="Arial" w:eastAsia="Arial" w:hAnsi="Arial"/>
          <w:b/>
          <w:bCs/>
          <w:i w:val="false"/>
          <w:iCs w:val="false"/>
          <w:color w:val="000000"/>
          <w:sz w:val="20"/>
          <w:szCs w:val="20"/>
        </w:rPr>
        <w:t xml:space="preserve">Source 1(a)</w:t>
      </w:r>
    </w:p>
    <w:p>
      <w:pPr>
        <w:spacing w:after="0" w:before="40"/>
      </w:pPr>
      <w:r>
        <w:rPr>
          <w:rFonts w:ascii="Arial" w:cs="Arial" w:eastAsia="Arial" w:hAnsi="Arial"/>
          <w:b w:val="false"/>
          <w:bCs w:val="false"/>
          <w:i w:val="false"/>
          <w:iCs w:val="false"/>
          <w:color w:val="000000"/>
          <w:sz w:val="20"/>
          <w:szCs w:val="20"/>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000000" w:sz="4"/>
              <w:left w:val="single" w:color="000000" w:sz="4"/>
              <w:bottom w:val="single" w:color="000000" w:sz="4"/>
              <w:right w:val="single" w:color="000000" w:sz="4"/>
            </w:tcBorders>
            <w:tcMar>
              <w:top w:type="dxa" w:w="120"/>
              <w:left w:type="dxa" w:w="160"/>
              <w:bottom w:type="dxa" w:w="120"/>
              <w:right w:type="dxa" w:w="160"/>
            </w:tcMar>
          </w:tcPr>
          <w:p>
            <w:pPr>
              <w:spacing w:after="100" w:before="40"/>
            </w:pPr>
            <w:r>
              <w:rPr>
                <w:rFonts w:ascii="Arial" w:cs="Arial" w:eastAsia="Arial" w:hAnsi="Arial"/>
                <w:b w:val="false"/>
                <w:bCs w:val="false"/>
                <w:i/>
                <w:iCs/>
                <w:color w:val="000000"/>
                <w:sz w:val="19"/>
                <w:szCs w:val="19"/>
              </w:rPr>
              <w:t xml:space="preserve">This source considers whether class has been displaced by age as the primary driver of how people vote in UK general elections. It was written after the 2024 general election.</w:t>
            </w:r>
          </w:p>
          <w:p>
            <w:pPr>
              <w:spacing w:after="0" w:before="60"/>
            </w:pPr>
            <w:r>
              <w:rPr>
                <w:rFonts w:ascii="Arial" w:cs="Arial" w:eastAsia="Arial" w:hAnsi="Arial"/>
                <w:b w:val="false"/>
                <w:bCs w:val="false"/>
                <w:i w:val="false"/>
                <w:iCs w:val="false"/>
                <w:color w:val="000000"/>
                <w:sz w:val="20"/>
                <w:szCs w:val="20"/>
              </w:rPr>
              <w:t xml:space="preserve"/>
            </w:r>
          </w:p>
          <w:tbl>
            <w:tblPr>
              <w:tblW w:type="dxa" w:w="9426"/>
              <w:tblBorders>
                <w:top w:val="single" w:color="auto" w:sz="4"/>
                <w:left w:val="single" w:color="auto" w:sz="4"/>
                <w:bottom w:val="single" w:color="auto" w:sz="4"/>
                <w:right w:val="single" w:color="auto" w:sz="4"/>
                <w:insideH w:val="single" w:color="auto" w:sz="4"/>
                <w:insideV w:val="single" w:color="auto" w:sz="4"/>
              </w:tblBorders>
            </w:tblPr>
            <w:tblGrid>
              <w:gridCol w:w="9426"/>
            </w:tblGrid>
            <w:tr>
              <w:tc>
                <w:tcPr>
                  <w:tcW w:type="dxa" w:w="9426"/>
                  <w:tcBorders>
                    <w:top w:val="single" w:color="999999" w:sz="4"/>
                    <w:left w:val="single" w:color="999999" w:sz="4"/>
                    <w:bottom w:val="single" w:color="999999" w:sz="4"/>
                    <w:right w:val="single" w:color="999999" w:sz="4"/>
                  </w:tcBorders>
                  <w:tcMar>
                    <w:top w:type="dxa" w:w="100"/>
                    <w:left w:type="dxa" w:w="180"/>
                    <w:bottom w:type="dxa" w:w="100"/>
                    <w:right w:type="dxa" w:w="180"/>
                  </w:tcMar>
                </w:tcPr>
                <w:p>
                  <w:pPr>
                    <w:spacing w:after="80" w:before="40"/>
                    <w:jc w:val="center"/>
                  </w:pPr>
                  <w:r>
                    <w:rPr>
                      <w:rFonts w:ascii="Arial" w:cs="Arial" w:eastAsia="Arial" w:hAnsi="Arial"/>
                      <w:b/>
                      <w:bCs/>
                      <w:i w:val="false"/>
                      <w:iCs w:val="false"/>
                      <w:color w:val="000000"/>
                      <w:sz w:val="20"/>
                      <w:szCs w:val="20"/>
                    </w:rPr>
                    <w:t xml:space="preserve">The case that age now matters more than class</w:t>
                  </w:r>
                </w:p>
                <w:p>
                  <w:pPr>
                    <w:spacing w:after="40" w:before="40"/>
                  </w:pPr>
                  <w:r>
                    <w:rPr>
                      <w:rFonts w:ascii="Arial" w:cs="Arial" w:eastAsia="Arial" w:hAnsi="Arial"/>
                      <w:b w:val="false"/>
                      <w:bCs w:val="false"/>
                      <w:i w:val="false"/>
                      <w:iCs w:val="false"/>
                      <w:color w:val="000000"/>
                      <w:sz w:val="19"/>
                      <w:szCs w:val="19"/>
                    </w:rPr>
                    <w:t xml:space="preserve">The Conservative collapse in 2024 and Labour’s return to office cannot be explained by traditional class voting. Labour took former Red Wall seats back while also gaining in southern commuter towns. Across both, it was younger voters who delivered the majority. Polling after the election found that among voters under 30, Labour led the Conservatives by more than 40 points. Among voters over 65, the Conservatives held a lead of around 20 points even as their national vote collapsed. Age, not class, produced the clearest electoral dividing line. This pattern continues a trend visible since 2017. Home ownership, university attendance and exposure to social media correlate far more strongly with vote choice than occupation or income. Reform UK’s rise took disproportionately from older working-class and middle-class Conservative voters, scrambling any neat class analysis. Parties themselves now campaign on housing, tuition fees and pensions rather than on the old language of labour and capital.</w:t>
                  </w:r>
                </w:p>
              </w:tc>
            </w:tr>
          </w:tbl>
          <w:p>
            <w:pPr>
              <w:spacing w:after="0" w:before="80"/>
            </w:pPr>
            <w:r>
              <w:rPr>
                <w:rFonts w:ascii="Arial" w:cs="Arial" w:eastAsia="Arial" w:hAnsi="Arial"/>
                <w:b w:val="false"/>
                <w:bCs w:val="false"/>
                <w:i w:val="false"/>
                <w:iCs w:val="false"/>
                <w:color w:val="000000"/>
                <w:sz w:val="20"/>
                <w:szCs w:val="20"/>
              </w:rPr>
              <w:t xml:space="preserve"/>
            </w:r>
          </w:p>
          <w:tbl>
            <w:tblPr>
              <w:tblW w:type="dxa" w:w="9426"/>
              <w:tblBorders>
                <w:top w:val="single" w:color="auto" w:sz="4"/>
                <w:left w:val="single" w:color="auto" w:sz="4"/>
                <w:bottom w:val="single" w:color="auto" w:sz="4"/>
                <w:right w:val="single" w:color="auto" w:sz="4"/>
                <w:insideH w:val="single" w:color="auto" w:sz="4"/>
                <w:insideV w:val="single" w:color="auto" w:sz="4"/>
              </w:tblBorders>
            </w:tblPr>
            <w:tblGrid>
              <w:gridCol w:w="9426"/>
            </w:tblGrid>
            <w:tr>
              <w:tc>
                <w:tcPr>
                  <w:tcW w:type="dxa" w:w="9426"/>
                  <w:tcBorders>
                    <w:top w:val="single" w:color="999999" w:sz="4"/>
                    <w:left w:val="single" w:color="999999" w:sz="4"/>
                    <w:bottom w:val="single" w:color="999999" w:sz="4"/>
                    <w:right w:val="single" w:color="999999" w:sz="4"/>
                  </w:tcBorders>
                  <w:tcMar>
                    <w:top w:type="dxa" w:w="100"/>
                    <w:left w:type="dxa" w:w="180"/>
                    <w:bottom w:type="dxa" w:w="100"/>
                    <w:right w:type="dxa" w:w="180"/>
                  </w:tcMar>
                </w:tcPr>
                <w:p>
                  <w:pPr>
                    <w:spacing w:after="80" w:before="40"/>
                    <w:jc w:val="center"/>
                  </w:pPr>
                  <w:r>
                    <w:rPr>
                      <w:rFonts w:ascii="Arial" w:cs="Arial" w:eastAsia="Arial" w:hAnsi="Arial"/>
                      <w:b/>
                      <w:bCs/>
                      <w:i w:val="false"/>
                      <w:iCs w:val="false"/>
                      <w:color w:val="000000"/>
                      <w:sz w:val="20"/>
                      <w:szCs w:val="20"/>
                    </w:rPr>
                    <w:t xml:space="preserve">The case that class has not been replaced</w:t>
                  </w:r>
                </w:p>
                <w:p>
                  <w:pPr>
                    <w:spacing w:after="40" w:before="40"/>
                  </w:pPr>
                  <w:r>
                    <w:rPr>
                      <w:rFonts w:ascii="Arial" w:cs="Arial" w:eastAsia="Arial" w:hAnsi="Arial"/>
                      <w:b w:val="false"/>
                      <w:bCs w:val="false"/>
                      <w:i w:val="false"/>
                      <w:iCs w:val="false"/>
                      <w:color w:val="000000"/>
                      <w:sz w:val="19"/>
                      <w:szCs w:val="19"/>
                    </w:rPr>
                    <w:t xml:space="preserve">However, class has not disappeared from the picture. Turnout among the lowest-income voters remains well below that of the professional middle class, which means that age patterns are partly an artefact of who actually votes. In Scotland, class and national identity continue to shape support for Labour, the SNP and the Conservatives in ways that age alone cannot capture. Regional and educational divides, often stand-ins for modern class, still produce sharp differences between graduate-heavy cities and less qualified towns. To argue that class is dead is to mistake a change in its shape for its disappearance.</w:t>
                  </w:r>
                </w:p>
              </w:tc>
            </w:tr>
          </w:tbl>
          <w:p/>
        </w:tc>
      </w:tr>
    </w:tbl>
    <w:p>
      <w:r>
        <w:br/>
      </w:r>
    </w:p>
    <w:p>
      <w:pPr>
        <w:spacing w:after="40" w:before="60"/>
      </w:pPr>
      <w:r>
        <w:rPr>
          <w:rFonts w:ascii="Arial" w:cs="Arial" w:eastAsia="Arial" w:hAnsi="Arial"/>
          <w:b/>
          <w:bCs/>
          <w:i w:val="false"/>
          <w:iCs w:val="false"/>
          <w:color w:val="000000"/>
          <w:sz w:val="20"/>
          <w:szCs w:val="20"/>
        </w:rPr>
        <w:t xml:space="preserve">Source 1(b)</w:t>
      </w:r>
    </w:p>
    <w:p>
      <w:pPr>
        <w:spacing w:after="0" w:before="40"/>
      </w:pPr>
      <w:r>
        <w:rPr>
          <w:rFonts w:ascii="Arial" w:cs="Arial" w:eastAsia="Arial" w:hAnsi="Arial"/>
          <w:b w:val="false"/>
          <w:bCs w:val="false"/>
          <w:i w:val="false"/>
          <w:iCs w:val="false"/>
          <w:color w:val="000000"/>
          <w:sz w:val="20"/>
          <w:szCs w:val="20"/>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000000" w:sz="4"/>
              <w:left w:val="single" w:color="000000" w:sz="4"/>
              <w:bottom w:val="single" w:color="000000" w:sz="4"/>
              <w:right w:val="single" w:color="000000" w:sz="4"/>
            </w:tcBorders>
            <w:tcMar>
              <w:top w:type="dxa" w:w="120"/>
              <w:left w:type="dxa" w:w="160"/>
              <w:bottom w:type="dxa" w:w="120"/>
              <w:right w:type="dxa" w:w="160"/>
            </w:tcMar>
          </w:tcPr>
          <w:p>
            <w:pPr>
              <w:spacing w:after="100" w:before="40"/>
            </w:pPr>
            <w:r>
              <w:rPr>
                <w:rFonts w:ascii="Arial" w:cs="Arial" w:eastAsia="Arial" w:hAnsi="Arial"/>
                <w:b w:val="false"/>
                <w:bCs w:val="false"/>
                <w:i/>
                <w:iCs/>
                <w:color w:val="000000"/>
                <w:sz w:val="19"/>
                <w:szCs w:val="19"/>
              </w:rPr>
              <w:t xml:space="preserve">This source examines whether First Past the Post still produces the results it was designed to deliver. It draws on the 2024 and 2019 general elections.</w:t>
            </w:r>
          </w:p>
          <w:p>
            <w:pPr>
              <w:spacing w:after="0" w:before="60"/>
            </w:pPr>
            <w:r>
              <w:rPr>
                <w:rFonts w:ascii="Arial" w:cs="Arial" w:eastAsia="Arial" w:hAnsi="Arial"/>
                <w:b w:val="false"/>
                <w:bCs w:val="false"/>
                <w:i w:val="false"/>
                <w:iCs w:val="false"/>
                <w:color w:val="000000"/>
                <w:sz w:val="20"/>
                <w:szCs w:val="20"/>
              </w:rPr>
              <w:t xml:space="preserve"/>
            </w:r>
          </w:p>
          <w:tbl>
            <w:tblPr>
              <w:tblW w:type="dxa" w:w="9426"/>
              <w:tblBorders>
                <w:top w:val="single" w:color="auto" w:sz="4"/>
                <w:left w:val="single" w:color="auto" w:sz="4"/>
                <w:bottom w:val="single" w:color="auto" w:sz="4"/>
                <w:right w:val="single" w:color="auto" w:sz="4"/>
                <w:insideH w:val="single" w:color="auto" w:sz="4"/>
                <w:insideV w:val="single" w:color="auto" w:sz="4"/>
              </w:tblBorders>
            </w:tblPr>
            <w:tblGrid>
              <w:gridCol w:w="9426"/>
            </w:tblGrid>
            <w:tr>
              <w:tc>
                <w:tcPr>
                  <w:tcW w:type="dxa" w:w="9426"/>
                  <w:tcBorders>
                    <w:top w:val="single" w:color="999999" w:sz="4"/>
                    <w:left w:val="single" w:color="999999" w:sz="4"/>
                    <w:bottom w:val="single" w:color="999999" w:sz="4"/>
                    <w:right w:val="single" w:color="999999" w:sz="4"/>
                  </w:tcBorders>
                  <w:tcMar>
                    <w:top w:type="dxa" w:w="100"/>
                    <w:left w:type="dxa" w:w="180"/>
                    <w:bottom w:type="dxa" w:w="100"/>
                    <w:right w:type="dxa" w:w="180"/>
                  </w:tcMar>
                </w:tcPr>
                <w:p>
                  <w:pPr>
                    <w:spacing w:after="80" w:before="40"/>
                    <w:jc w:val="center"/>
                  </w:pPr>
                  <w:r>
                    <w:rPr>
                      <w:rFonts w:ascii="Arial" w:cs="Arial" w:eastAsia="Arial" w:hAnsi="Arial"/>
                      <w:b/>
                      <w:bCs/>
                      <w:i w:val="false"/>
                      <w:iCs w:val="false"/>
                      <w:color w:val="000000"/>
                      <w:sz w:val="20"/>
                      <w:szCs w:val="20"/>
                    </w:rPr>
                    <w:t xml:space="preserve">The case against First Past the Post</w:t>
                  </w:r>
                </w:p>
                <w:p>
                  <w:pPr>
                    <w:spacing w:after="40" w:before="40"/>
                  </w:pPr>
                  <w:r>
                    <w:rPr>
                      <w:rFonts w:ascii="Arial" w:cs="Arial" w:eastAsia="Arial" w:hAnsi="Arial"/>
                      <w:b w:val="false"/>
                      <w:bCs w:val="false"/>
                      <w:i w:val="false"/>
                      <w:iCs w:val="false"/>
                      <w:color w:val="000000"/>
                      <w:sz w:val="19"/>
                      <w:szCs w:val="19"/>
                    </w:rPr>
                    <w:t xml:space="preserve">First Past the Post is now producing some of the most disproportionate results in its history. In 2024, Labour won a landslide of 411 seats with just under 34 per cent of the vote, the lowest vote share ever recorded for a governing majority. Reform UK received more than four million votes and returned only five MPs, while the Greens took nearly two million votes for four seats. Critics argue that the link between votes cast and seats won has broken, and that the millions of voters for smaller parties are effectively disenfranchised. The devolved assemblies demonstrate how alternative systems behave. The Additional Member System in Scotland and Wales, and Single Transferable Vote in Northern Ireland, deliver parliaments that reflect vote shares more accurately and allow smaller parties to be represented. The 2024 election showed that voters are willing to back parties outside the traditional two, but the Westminster system cannot accommodate that shift. Strong government is not the same thing as legitimate government.</w:t>
                  </w:r>
                </w:p>
              </w:tc>
            </w:tr>
          </w:tbl>
          <w:p>
            <w:pPr>
              <w:spacing w:after="0" w:before="80"/>
            </w:pPr>
            <w:r>
              <w:rPr>
                <w:rFonts w:ascii="Arial" w:cs="Arial" w:eastAsia="Arial" w:hAnsi="Arial"/>
                <w:b w:val="false"/>
                <w:bCs w:val="false"/>
                <w:i w:val="false"/>
                <w:iCs w:val="false"/>
                <w:color w:val="000000"/>
                <w:sz w:val="20"/>
                <w:szCs w:val="20"/>
              </w:rPr>
              <w:t xml:space="preserve"/>
            </w:r>
          </w:p>
          <w:tbl>
            <w:tblPr>
              <w:tblW w:type="dxa" w:w="9426"/>
              <w:tblBorders>
                <w:top w:val="single" w:color="auto" w:sz="4"/>
                <w:left w:val="single" w:color="auto" w:sz="4"/>
                <w:bottom w:val="single" w:color="auto" w:sz="4"/>
                <w:right w:val="single" w:color="auto" w:sz="4"/>
                <w:insideH w:val="single" w:color="auto" w:sz="4"/>
                <w:insideV w:val="single" w:color="auto" w:sz="4"/>
              </w:tblBorders>
            </w:tblPr>
            <w:tblGrid>
              <w:gridCol w:w="9426"/>
            </w:tblGrid>
            <w:tr>
              <w:tc>
                <w:tcPr>
                  <w:tcW w:type="dxa" w:w="9426"/>
                  <w:tcBorders>
                    <w:top w:val="single" w:color="999999" w:sz="4"/>
                    <w:left w:val="single" w:color="999999" w:sz="4"/>
                    <w:bottom w:val="single" w:color="999999" w:sz="4"/>
                    <w:right w:val="single" w:color="999999" w:sz="4"/>
                  </w:tcBorders>
                  <w:tcMar>
                    <w:top w:type="dxa" w:w="100"/>
                    <w:left w:type="dxa" w:w="180"/>
                    <w:bottom w:type="dxa" w:w="100"/>
                    <w:right w:type="dxa" w:w="180"/>
                  </w:tcMar>
                </w:tcPr>
                <w:p>
                  <w:pPr>
                    <w:spacing w:after="80" w:before="40"/>
                    <w:jc w:val="center"/>
                  </w:pPr>
                  <w:r>
                    <w:rPr>
                      <w:rFonts w:ascii="Arial" w:cs="Arial" w:eastAsia="Arial" w:hAnsi="Arial"/>
                      <w:b/>
                      <w:bCs/>
                      <w:i w:val="false"/>
                      <w:iCs w:val="false"/>
                      <w:color w:val="000000"/>
                      <w:sz w:val="20"/>
                      <w:szCs w:val="20"/>
                    </w:rPr>
                    <w:t xml:space="preserve">The case for First Past the Post</w:t>
                  </w:r>
                </w:p>
                <w:p>
                  <w:pPr>
                    <w:spacing w:after="40" w:before="40"/>
                  </w:pPr>
                  <w:r>
                    <w:rPr>
                      <w:rFonts w:ascii="Arial" w:cs="Arial" w:eastAsia="Arial" w:hAnsi="Arial"/>
                      <w:b w:val="false"/>
                      <w:bCs w:val="false"/>
                      <w:i w:val="false"/>
                      <w:iCs w:val="false"/>
                      <w:color w:val="000000"/>
                      <w:sz w:val="19"/>
                      <w:szCs w:val="19"/>
                    </w:rPr>
                    <w:t xml:space="preserve">Defenders of First Past the Post reply that strong, single-party government is still being produced, even if by smaller vote shares, and that coalitions under proportional systems can be unstable or allow extremist parties a foothold. The system has traditionally been defended on the grounds that it produces a clear constituency link between MP and voter. The 2011 referendum decisively rejected change. The constituency link, they argue, is worth more than mathematical proportionality. Yet even some Conservatives now question a system that hands a majority to an opponent on a vote share only four points above their own.</w:t>
                  </w:r>
                </w:p>
              </w:tc>
            </w:tr>
          </w:tbl>
          <w:p/>
        </w:tc>
      </w:tr>
    </w:tbl>
    <w:p>
      <w:r>
        <w:br/>
      </w:r>
    </w:p>
    <w:p>
      <w:pPr>
        <w:spacing w:before="400"/>
        <w:jc w:val="center"/>
      </w:pPr>
      <w:r>
        <w:rPr>
          <w:rFonts w:ascii="Arial" w:cs="Arial" w:eastAsia="Arial" w:hAnsi="Arial"/>
          <w:b/>
          <w:bCs/>
          <w:i w:val="false"/>
          <w:iCs w:val="false"/>
          <w:color w:val="000000"/>
          <w:sz w:val="22"/>
          <w:szCs w:val="22"/>
        </w:rPr>
        <w:t xml:space="preserve">BLANK PAGE</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2026-04-16T14:52:09.807Z</dcterms:created>
  <dcterms:modified xsi:type="dcterms:W3CDTF">2026-04-16T14:52:09.811Z</dcterms:modified>
</cp:coreProperties>
</file>

<file path=docProps/custom.xml><?xml version="1.0" encoding="utf-8"?>
<Properties xmlns="http://schemas.openxmlformats.org/officeDocument/2006/custom-properties" xmlns:vt="http://schemas.openxmlformats.org/officeDocument/2006/docPropsVTypes"/>
</file>